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36" w:rsidRDefault="002F3836" w:rsidP="003953D8">
      <w:pPr>
        <w:pStyle w:val="Web"/>
        <w:spacing w:beforeLines="40" w:beforeAutospacing="0" w:afterLines="20" w:afterAutospacing="0" w:line="340" w:lineRule="exact"/>
        <w:ind w:left="1436" w:hangingChars="513" w:hanging="1436"/>
        <w:jc w:val="center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8"/>
          <w:szCs w:val="28"/>
        </w:rPr>
        <w:t>長庚大學延攬及留住特殊優秀人才實施彈性薪資作業要點</w:t>
      </w:r>
    </w:p>
    <w:p w:rsidR="002F3836" w:rsidRPr="008C0AD1" w:rsidRDefault="002F3836" w:rsidP="003953D8">
      <w:pPr>
        <w:pStyle w:val="Web"/>
        <w:snapToGrid w:val="0"/>
        <w:spacing w:beforeLines="30" w:beforeAutospacing="0" w:after="0" w:afterAutospacing="0"/>
        <w:ind w:left="428" w:hangingChars="214" w:hanging="42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C0AD1">
        <w:rPr>
          <w:rFonts w:ascii="Times New Roman" w:eastAsia="標楷體" w:hAnsi="Times New Roman" w:cs="Times New Roman"/>
          <w:sz w:val="20"/>
          <w:szCs w:val="20"/>
        </w:rPr>
        <w:t>1000323</w:t>
      </w:r>
      <w:r w:rsidRPr="008C0AD1">
        <w:rPr>
          <w:rFonts w:ascii="Times New Roman" w:eastAsia="標楷體" w:hAnsi="標楷體" w:cs="Times New Roman"/>
          <w:sz w:val="20"/>
          <w:szCs w:val="20"/>
        </w:rPr>
        <w:t>校務會議通過</w:t>
      </w:r>
      <w:r w:rsidRPr="008C0AD1">
        <w:rPr>
          <w:rFonts w:ascii="Times New Roman" w:eastAsia="標楷體" w:hAnsi="Times New Roman" w:cs="Times New Roman"/>
          <w:sz w:val="20"/>
          <w:szCs w:val="20"/>
        </w:rPr>
        <w:br/>
        <w:t>1000331</w:t>
      </w:r>
      <w:r w:rsidRPr="008C0AD1">
        <w:rPr>
          <w:rFonts w:ascii="Times New Roman" w:eastAsia="標楷體" w:hAnsi="標楷體" w:cs="Times New Roman"/>
          <w:sz w:val="20"/>
          <w:szCs w:val="20"/>
        </w:rPr>
        <w:t>教育部臺高</w:t>
      </w:r>
      <w:r w:rsidRPr="008C0AD1">
        <w:rPr>
          <w:rFonts w:ascii="Times New Roman" w:eastAsia="標楷體" w:hAnsi="Times New Roman" w:cs="Times New Roman"/>
          <w:sz w:val="20"/>
          <w:szCs w:val="20"/>
        </w:rPr>
        <w:t>(</w:t>
      </w:r>
      <w:r w:rsidRPr="008C0AD1">
        <w:rPr>
          <w:rFonts w:ascii="Times New Roman" w:eastAsia="標楷體" w:hAnsi="標楷體" w:cs="Times New Roman"/>
          <w:sz w:val="20"/>
          <w:szCs w:val="20"/>
        </w:rPr>
        <w:t>三</w:t>
      </w:r>
      <w:r w:rsidRPr="008C0AD1">
        <w:rPr>
          <w:rFonts w:ascii="Times New Roman" w:eastAsia="標楷體" w:hAnsi="Times New Roman" w:cs="Times New Roman"/>
          <w:sz w:val="20"/>
          <w:szCs w:val="20"/>
        </w:rPr>
        <w:t>)</w:t>
      </w:r>
      <w:r w:rsidRPr="008C0AD1">
        <w:rPr>
          <w:rFonts w:ascii="Times New Roman" w:eastAsia="標楷體" w:hAnsi="標楷體" w:cs="Times New Roman"/>
          <w:sz w:val="20"/>
          <w:szCs w:val="20"/>
        </w:rPr>
        <w:t>字第</w:t>
      </w:r>
      <w:r w:rsidRPr="008C0AD1">
        <w:rPr>
          <w:rFonts w:ascii="Times New Roman" w:eastAsia="標楷體" w:hAnsi="Times New Roman" w:cs="Times New Roman"/>
          <w:sz w:val="20"/>
          <w:szCs w:val="20"/>
        </w:rPr>
        <w:t>1000053338</w:t>
      </w:r>
      <w:r w:rsidRPr="008C0AD1">
        <w:rPr>
          <w:rFonts w:ascii="Times New Roman" w:eastAsia="標楷體" w:hAnsi="標楷體" w:cs="Times New Roman"/>
          <w:sz w:val="20"/>
          <w:szCs w:val="20"/>
        </w:rPr>
        <w:t>號函</w:t>
      </w:r>
      <w:r w:rsidR="003F2094" w:rsidRPr="008C0AD1">
        <w:rPr>
          <w:rFonts w:ascii="Times New Roman" w:eastAsia="標楷體" w:hAnsi="標楷體" w:cs="Times New Roman"/>
          <w:sz w:val="20"/>
          <w:szCs w:val="20"/>
        </w:rPr>
        <w:t>同意</w:t>
      </w:r>
      <w:r w:rsidRPr="008C0AD1">
        <w:rPr>
          <w:rFonts w:ascii="Times New Roman" w:eastAsia="標楷體" w:hAnsi="標楷體" w:cs="Times New Roman"/>
          <w:sz w:val="20"/>
          <w:szCs w:val="20"/>
        </w:rPr>
        <w:t>備查</w:t>
      </w:r>
    </w:p>
    <w:p w:rsidR="00D819A6" w:rsidRDefault="00D819A6" w:rsidP="008C0AD1">
      <w:pPr>
        <w:pStyle w:val="Web"/>
        <w:snapToGrid w:val="0"/>
        <w:spacing w:before="0" w:beforeAutospacing="0" w:after="0" w:afterAutospacing="0"/>
        <w:ind w:left="428" w:hangingChars="214" w:hanging="428"/>
        <w:jc w:val="right"/>
        <w:rPr>
          <w:rFonts w:ascii="Times New Roman" w:eastAsia="標楷體" w:hAnsi="標楷體" w:cs="Times New Roman" w:hint="eastAsia"/>
          <w:sz w:val="20"/>
          <w:szCs w:val="20"/>
        </w:rPr>
      </w:pPr>
      <w:r w:rsidRPr="008C0AD1">
        <w:rPr>
          <w:rFonts w:ascii="Times New Roman" w:eastAsia="標楷體" w:hAnsi="Times New Roman" w:cs="Times New Roman"/>
          <w:sz w:val="20"/>
          <w:szCs w:val="20"/>
        </w:rPr>
        <w:t>10</w:t>
      </w:r>
      <w:r w:rsidR="00064BBD">
        <w:rPr>
          <w:rFonts w:ascii="Times New Roman" w:eastAsia="標楷體" w:hAnsi="Times New Roman" w:cs="Times New Roman" w:hint="eastAsia"/>
          <w:sz w:val="20"/>
          <w:szCs w:val="20"/>
        </w:rPr>
        <w:t>41015</w:t>
      </w:r>
      <w:r w:rsidRPr="008C0AD1">
        <w:rPr>
          <w:rFonts w:ascii="Times New Roman" w:eastAsia="標楷體" w:hAnsi="標楷體" w:cs="Times New Roman"/>
          <w:sz w:val="20"/>
          <w:szCs w:val="20"/>
        </w:rPr>
        <w:t>校務會議通過</w:t>
      </w:r>
    </w:p>
    <w:p w:rsidR="003953D8" w:rsidRPr="003953D8" w:rsidRDefault="003953D8" w:rsidP="003953D8">
      <w:pPr>
        <w:pStyle w:val="Web"/>
        <w:snapToGrid w:val="0"/>
        <w:spacing w:before="0" w:beforeAutospacing="0" w:after="0" w:afterAutospacing="0"/>
        <w:ind w:left="428" w:hangingChars="214" w:hanging="428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1041116</w:t>
      </w:r>
      <w:r>
        <w:rPr>
          <w:rFonts w:ascii="Times New Roman" w:eastAsia="標楷體" w:hAnsi="Times New Roman" w:cs="Times New Roman" w:hint="eastAsia"/>
          <w:sz w:val="20"/>
          <w:szCs w:val="20"/>
        </w:rPr>
        <w:t>教育部</w:t>
      </w:r>
      <w:r w:rsidRPr="003953D8">
        <w:rPr>
          <w:rFonts w:ascii="Times New Roman" w:eastAsia="標楷體" w:hAnsi="Times New Roman" w:cs="Times New Roman" w:hint="eastAsia"/>
          <w:sz w:val="20"/>
          <w:szCs w:val="20"/>
        </w:rPr>
        <w:t>臺教高</w:t>
      </w:r>
      <w:r w:rsidRPr="003953D8">
        <w:rPr>
          <w:rFonts w:ascii="Times New Roman" w:eastAsia="標楷體" w:hAnsi="Times New Roman" w:cs="Times New Roman"/>
          <w:sz w:val="20"/>
          <w:szCs w:val="20"/>
        </w:rPr>
        <w:t>(</w:t>
      </w:r>
      <w:r w:rsidRPr="003953D8">
        <w:rPr>
          <w:rFonts w:ascii="Times New Roman" w:eastAsia="標楷體" w:hAnsi="Times New Roman" w:cs="Times New Roman" w:hint="eastAsia"/>
          <w:sz w:val="20"/>
          <w:szCs w:val="20"/>
        </w:rPr>
        <w:t>五</w:t>
      </w:r>
      <w:r w:rsidRPr="003953D8">
        <w:rPr>
          <w:rFonts w:ascii="Times New Roman" w:eastAsia="標楷體" w:hAnsi="Times New Roman" w:cs="Times New Roman"/>
          <w:sz w:val="20"/>
          <w:szCs w:val="20"/>
        </w:rPr>
        <w:t>)</w:t>
      </w:r>
      <w:r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3953D8">
        <w:rPr>
          <w:rFonts w:ascii="Times New Roman" w:eastAsia="標楷體" w:hAnsi="Times New Roman" w:cs="Times New Roman"/>
          <w:sz w:val="20"/>
          <w:szCs w:val="20"/>
        </w:rPr>
        <w:t>1040154342</w:t>
      </w:r>
      <w:r w:rsidRPr="003953D8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C0AD1">
        <w:rPr>
          <w:rFonts w:ascii="Times New Roman" w:eastAsia="標楷體" w:hAnsi="標楷體" w:cs="Times New Roman"/>
          <w:sz w:val="20"/>
          <w:szCs w:val="20"/>
        </w:rPr>
        <w:t>函同意備查</w:t>
      </w:r>
    </w:p>
    <w:p w:rsidR="002F3836" w:rsidRDefault="002F3836" w:rsidP="003953D8">
      <w:pPr>
        <w:pStyle w:val="Web"/>
        <w:snapToGrid w:val="0"/>
        <w:spacing w:beforeLines="40" w:beforeAutospacing="0" w:afterLines="20" w:afterAutospacing="0" w:line="360" w:lineRule="exact"/>
        <w:ind w:left="599" w:hangingChars="214" w:hanging="5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一、本校為延攬及留住特殊優秀人才，以提昇學術競爭力，特依延攬及留住特殊優秀人才實施彈性薪資方案，訂定本要點。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Chars="192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二、本校到職滿二年以上之編制內專任教師，其教學、研究、服務及輔導績效優良，由系院推薦、經績優教師審查委員會審查通過者，得給予現職績優教師加給。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本校新聘教師，須為國內第一次聘任者，始得依本要點規定給予新聘績優教師加給。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Chars="192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三、本校現職教師於教學、研究、服務及輔導有具體優良成果者，經審查通過後得依下列標準核給績優教師加給：</w:t>
      </w:r>
    </w:p>
    <w:p w:rsidR="002F3836" w:rsidRDefault="002F3836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獲選為中央研究院士：</w:t>
      </w:r>
      <w:r>
        <w:rPr>
          <w:rFonts w:ascii="標楷體" w:eastAsia="標楷體" w:hAnsi="標楷體" w:cs="標楷體" w:hint="eastAsia"/>
          <w:sz w:val="28"/>
          <w:szCs w:val="28"/>
        </w:rPr>
        <w:t>按月核給50點績優教師加給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F3836" w:rsidRDefault="002F3836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近10年獲頒教育部國家講座、或學術獎：</w:t>
      </w:r>
      <w:r>
        <w:rPr>
          <w:rFonts w:ascii="標楷體" w:eastAsia="標楷體" w:hAnsi="標楷體" w:cs="標楷體" w:hint="eastAsia"/>
          <w:sz w:val="28"/>
          <w:szCs w:val="28"/>
        </w:rPr>
        <w:t>按月核給45點績優教師加給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F3836" w:rsidRPr="00055CBC" w:rsidRDefault="002F3836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近10年獲頒</w:t>
      </w:r>
      <w:r>
        <w:rPr>
          <w:rFonts w:ascii="標楷體" w:eastAsia="標楷體" w:hAnsi="標楷體" w:cs="標楷體" w:hint="eastAsia"/>
          <w:sz w:val="28"/>
          <w:szCs w:val="28"/>
        </w:rPr>
        <w:t>行政院</w:t>
      </w:r>
      <w:r w:rsidR="00554EDA" w:rsidRPr="00F9289C">
        <w:rPr>
          <w:rFonts w:ascii="標楷體" w:eastAsia="標楷體" w:hAnsi="標楷體" w:cs="標楷體" w:hint="eastAsia"/>
          <w:sz w:val="28"/>
          <w:szCs w:val="28"/>
          <w:u w:val="single"/>
        </w:rPr>
        <w:t>科技部</w:t>
      </w:r>
      <w:r>
        <w:rPr>
          <w:rFonts w:ascii="標楷體" w:eastAsia="標楷體" w:hAnsi="標楷體" w:cs="標楷體" w:hint="eastAsia"/>
          <w:sz w:val="28"/>
          <w:szCs w:val="28"/>
        </w:rPr>
        <w:t>特約研究員或傑出獎3次以上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按月核給40點績優教師加給。</w:t>
      </w:r>
    </w:p>
    <w:p w:rsidR="002F3836" w:rsidRDefault="002F3836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 w:rsidRPr="00B000C0">
        <w:rPr>
          <w:rFonts w:ascii="標楷體" w:eastAsia="標楷體" w:hAnsi="標楷體" w:hint="eastAsia"/>
          <w:sz w:val="28"/>
          <w:szCs w:val="28"/>
        </w:rPr>
        <w:t>長期參與校務行政並對校務發展、或教學創新等具有顯著貢獻(擔任行政主管10年以上，經評核成績優良，在校務相關領域有所建樹、或改革，對於本校在競爭力、或評鑑等量化、質化之表現確有貢獻，經審查通過)，且近5年內主持行政院國家</w:t>
      </w:r>
      <w:r w:rsidR="00554EDA" w:rsidRPr="00F9289C">
        <w:rPr>
          <w:rFonts w:ascii="標楷體" w:eastAsia="標楷體" w:hAnsi="標楷體" w:cs="標楷體" w:hint="eastAsia"/>
          <w:sz w:val="28"/>
          <w:szCs w:val="28"/>
          <w:u w:val="single"/>
        </w:rPr>
        <w:t>科技部</w:t>
      </w:r>
      <w:r w:rsidRPr="00B000C0">
        <w:rPr>
          <w:rFonts w:ascii="標楷體" w:eastAsia="標楷體" w:hAnsi="標楷體" w:hint="eastAsia"/>
          <w:sz w:val="28"/>
          <w:szCs w:val="28"/>
        </w:rPr>
        <w:t>專題研究計劃5件以上者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按月核給40點績優教師加給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F3836" w:rsidRPr="00055CBC" w:rsidRDefault="002F3836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對本校重大研究計劃之爭取規劃、整合及執行成效具貢獻(近5年爭取校外經費總額達3,000萬元以上、且獲</w:t>
      </w:r>
      <w:r w:rsidR="00D819A6">
        <w:rPr>
          <w:rFonts w:ascii="標楷體" w:eastAsia="標楷體" w:hAnsi="標楷體" w:cs="標楷體" w:hint="eastAsia"/>
          <w:sz w:val="28"/>
          <w:szCs w:val="28"/>
        </w:rPr>
        <w:t>科技部</w:t>
      </w:r>
      <w:r>
        <w:rPr>
          <w:rFonts w:ascii="標楷體" w:eastAsia="標楷體" w:hAnsi="標楷體" w:cs="標楷體" w:hint="eastAsia"/>
          <w:sz w:val="28"/>
          <w:szCs w:val="28"/>
        </w:rPr>
        <w:t>傑出獎一次以上)者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按月核給40點績優教師加給。</w:t>
      </w:r>
    </w:p>
    <w:p w:rsidR="00C32360" w:rsidRDefault="002F3836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規劃、推動及負責本校研究中心業務，成效卓著</w:t>
      </w:r>
      <w:r>
        <w:rPr>
          <w:rFonts w:ascii="標楷體" w:eastAsia="標楷體" w:hAnsi="標楷體" w:hint="eastAsia"/>
          <w:sz w:val="28"/>
          <w:szCs w:val="28"/>
        </w:rPr>
        <w:t>且近5年內主持行政院</w:t>
      </w:r>
      <w:r w:rsidR="00554EDA" w:rsidRPr="00F9289C">
        <w:rPr>
          <w:rFonts w:ascii="標楷體" w:eastAsia="標楷體" w:hAnsi="標楷體" w:cs="標楷體" w:hint="eastAsia"/>
          <w:sz w:val="28"/>
          <w:szCs w:val="28"/>
          <w:u w:val="single"/>
        </w:rPr>
        <w:t>科技部</w:t>
      </w:r>
      <w:r>
        <w:rPr>
          <w:rFonts w:ascii="標楷體" w:eastAsia="標楷體" w:hAnsi="標楷體" w:hint="eastAsia"/>
          <w:sz w:val="28"/>
          <w:szCs w:val="28"/>
        </w:rPr>
        <w:t>專題研究計劃5件以上者：</w:t>
      </w:r>
      <w:r>
        <w:rPr>
          <w:rFonts w:ascii="標楷體" w:eastAsia="標楷體" w:hAnsi="標楷體" w:cs="標楷體" w:hint="eastAsia"/>
          <w:sz w:val="28"/>
          <w:szCs w:val="28"/>
        </w:rPr>
        <w:t>按月核給16~25點績優教師加給【所屬成員前二年度之平均績效(指所爭取校外計劃之管理費，以下同)達全校教師平均績效之1.5倍者按月核給16點，達全校教師平均績效之2.5倍者，按月核給25點】。</w:t>
      </w:r>
    </w:p>
    <w:p w:rsidR="008C0AD1" w:rsidRPr="00C32360" w:rsidRDefault="008C0AD1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 w:rsidRPr="00F9289C">
        <w:rPr>
          <w:rFonts w:ascii="標楷體" w:eastAsia="標楷體" w:hAnsi="標楷體" w:hint="eastAsia"/>
          <w:sz w:val="28"/>
          <w:szCs w:val="28"/>
          <w:u w:val="single"/>
        </w:rPr>
        <w:t>近5年獲頒本校教學優良教師獎</w:t>
      </w:r>
      <w:r w:rsidR="00781D8E" w:rsidRPr="00F9289C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F9289C">
        <w:rPr>
          <w:rFonts w:ascii="標楷體" w:eastAsia="標楷體" w:hAnsi="標楷體" w:hint="eastAsia"/>
          <w:sz w:val="28"/>
          <w:szCs w:val="28"/>
          <w:u w:val="single"/>
        </w:rPr>
        <w:t>輔導優良教師</w:t>
      </w:r>
      <w:r w:rsidR="00781D8E" w:rsidRPr="00F9289C">
        <w:rPr>
          <w:rFonts w:ascii="標楷體" w:eastAsia="標楷體" w:hAnsi="標楷體" w:hint="eastAsia"/>
          <w:sz w:val="28"/>
          <w:szCs w:val="28"/>
          <w:u w:val="single"/>
        </w:rPr>
        <w:t>獎或技合優良教師</w:t>
      </w:r>
      <w:r w:rsidRPr="00F9289C">
        <w:rPr>
          <w:rFonts w:ascii="標楷體" w:eastAsia="標楷體" w:hAnsi="標楷體" w:hint="eastAsia"/>
          <w:sz w:val="28"/>
          <w:szCs w:val="28"/>
          <w:u w:val="single"/>
        </w:rPr>
        <w:t>獎累計2次以上，並且</w:t>
      </w:r>
      <w:r w:rsidRPr="00F9289C">
        <w:rPr>
          <w:rFonts w:ascii="標楷體" w:eastAsia="標楷體" w:hAnsi="標楷體" w:hint="eastAsia"/>
          <w:sz w:val="28"/>
          <w:szCs w:val="28"/>
        </w:rPr>
        <w:t>近5年內主持行政院</w:t>
      </w:r>
      <w:r w:rsidR="00554EDA" w:rsidRPr="00F9289C">
        <w:rPr>
          <w:rFonts w:ascii="標楷體" w:eastAsia="標楷體" w:hAnsi="標楷體" w:cs="標楷體" w:hint="eastAsia"/>
          <w:sz w:val="28"/>
          <w:szCs w:val="28"/>
          <w:u w:val="single"/>
        </w:rPr>
        <w:t>科技部</w:t>
      </w:r>
      <w:r w:rsidRPr="00F9289C">
        <w:rPr>
          <w:rFonts w:ascii="標楷體" w:eastAsia="標楷體" w:hAnsi="標楷體" w:hint="eastAsia"/>
          <w:sz w:val="28"/>
          <w:szCs w:val="28"/>
        </w:rPr>
        <w:t>專題</w:t>
      </w:r>
      <w:r w:rsidRPr="00C32360">
        <w:rPr>
          <w:rFonts w:ascii="標楷體" w:eastAsia="標楷體" w:hAnsi="標楷體" w:hint="eastAsia"/>
          <w:sz w:val="28"/>
          <w:szCs w:val="28"/>
        </w:rPr>
        <w:t>研究計劃5件以上者：</w:t>
      </w:r>
      <w:r w:rsidRPr="00C32360">
        <w:rPr>
          <w:rFonts w:ascii="標楷體" w:eastAsia="標楷體" w:hAnsi="標楷體" w:cs="標楷體" w:hint="eastAsia"/>
          <w:sz w:val="28"/>
          <w:szCs w:val="28"/>
        </w:rPr>
        <w:t>按月核給15點績優教師加給</w:t>
      </w:r>
      <w:r w:rsidRPr="00C32360">
        <w:rPr>
          <w:rFonts w:ascii="標楷體" w:eastAsia="標楷體" w:hAnsi="標楷體" w:hint="eastAsia"/>
          <w:sz w:val="28"/>
          <w:szCs w:val="28"/>
        </w:rPr>
        <w:t>。</w:t>
      </w:r>
    </w:p>
    <w:p w:rsidR="002F3836" w:rsidRPr="00522C76" w:rsidRDefault="002F3836" w:rsidP="003953D8">
      <w:pPr>
        <w:pStyle w:val="Web"/>
        <w:numPr>
          <w:ilvl w:val="0"/>
          <w:numId w:val="1"/>
        </w:numPr>
        <w:spacing w:beforeLines="40" w:beforeAutospacing="0" w:afterLines="20" w:afterAutospacing="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近5年內在應用研究上有具體發明成果，技轉金額達400萬元以上者：</w:t>
      </w:r>
      <w:r>
        <w:rPr>
          <w:rFonts w:ascii="標楷體" w:eastAsia="標楷體" w:hAnsi="標楷體" w:cs="標楷體" w:hint="eastAsia"/>
          <w:sz w:val="28"/>
          <w:szCs w:val="28"/>
        </w:rPr>
        <w:t>按月核給10點績優教師加給。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Chars="192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四、現職績優教師加給，以審查通過當年八月一日起核發為原則，惟如校外補助機構另有規定者，從其規定。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符合第三點多款次者，擇優核給。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現職績優教師加給給與期限除</w:t>
      </w:r>
      <w:r>
        <w:rPr>
          <w:rFonts w:ascii="標楷體" w:eastAsia="標楷體" w:hAnsi="標楷體" w:hint="eastAsia"/>
          <w:sz w:val="28"/>
          <w:szCs w:val="28"/>
        </w:rPr>
        <w:t>符合第三點第一款者</w:t>
      </w:r>
      <w:r>
        <w:rPr>
          <w:rFonts w:ascii="標楷體" w:eastAsia="標楷體" w:hAnsi="標楷體" w:cs="標楷體" w:hint="eastAsia"/>
          <w:sz w:val="28"/>
          <w:szCs w:val="28"/>
        </w:rPr>
        <w:t>支領至退休外、其餘核給二年，期滿後依本要點規定重新審查獲通過者，得再核給。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支領績優教師加給者，於離職、退休或留職停薪時，停發加給。留職停薪</w:t>
      </w:r>
      <w:r>
        <w:rPr>
          <w:rFonts w:ascii="標楷體" w:eastAsia="標楷體" w:hAnsi="標楷體" w:cs="標楷體" w:hint="eastAsia"/>
          <w:sz w:val="28"/>
          <w:szCs w:val="28"/>
        </w:rPr>
        <w:t>績優教師復職後，繼續核發加給至期滿為止。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五、獲績優教師加給者，其未來績效應兼顧教學、研究、服務各面向，並維持或優於本要點第三點規定之資格標準，由本校定期評估之。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六、新聘績優教師由系、院推薦，經審查委員會審議通過者，得給與新聘績優教師加給，其資格條件，給與標準及給與期限如下：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5" w:left="108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(一)新聘教師在學術上有具體貢獻者，或為國外知名大學、學術研究機構或事業機構聘任相當職務，並具有相當於本要點第三點所規定資格條件者。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5" w:left="108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(二)新聘績優教師加給依本要點第三點所訂標準核給，核給期限為二年。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支領新聘績優教師加給者，於離職、退休或留職停薪時，加給停止發放。留職停薪</w:t>
      </w:r>
      <w:r>
        <w:rPr>
          <w:rFonts w:ascii="標楷體" w:eastAsia="標楷體" w:hAnsi="標楷體" w:cs="標楷體" w:hint="eastAsia"/>
          <w:sz w:val="28"/>
          <w:szCs w:val="28"/>
        </w:rPr>
        <w:t>新聘績優教師復職後，繼續核發加給至期滿為止。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Chars="192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績優教師審查委員會置委員九人，校長、副校長、教務長、研發長、學務長為當然委員，其餘委員由校長遴聘學術表現優良之校內外學者專家組成之，校長為召集人。委員任期二年，得連任。開會時得邀請相關單位主管列席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Chars="192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八、審查程序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每年四月由系、院完成現職績優教師推薦程序後，將相關資料送人事室彙整，學校於六月底前召開績優教師審查委員會，審議通過呈校長核定者，給與現職績優教師加給。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新聘教師到職後，系、院須於每年十月前推薦，並將相關</w:t>
      </w:r>
      <w:r>
        <w:rPr>
          <w:rFonts w:ascii="標楷體" w:eastAsia="標楷體" w:hAnsi="標楷體" w:cs="標楷體" w:hint="eastAsia"/>
          <w:sz w:val="28"/>
          <w:szCs w:val="28"/>
        </w:rPr>
        <w:t>資料送人事室彙整，學校於十一月召開績優教師審查委員會，審議通過呈校長核定者，溯自聘任之日起核發新聘績優教師加給。</w:t>
      </w:r>
    </w:p>
    <w:p w:rsidR="002F3836" w:rsidRDefault="002F3836" w:rsidP="003953D8">
      <w:pPr>
        <w:pStyle w:val="Web"/>
        <w:spacing w:beforeLines="50" w:beforeAutospacing="0" w:afterLines="50" w:afterAutospacing="0" w:line="360" w:lineRule="exact"/>
        <w:ind w:left="1198" w:hanging="119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九、核給薪資之最低差距比例、核給期程、核給比例</w:t>
      </w:r>
    </w:p>
    <w:p w:rsidR="002F3836" w:rsidRDefault="002F3836" w:rsidP="003953D8">
      <w:pPr>
        <w:pStyle w:val="Web"/>
        <w:numPr>
          <w:ilvl w:val="0"/>
          <w:numId w:val="2"/>
        </w:numPr>
        <w:spacing w:beforeLines="50" w:beforeAutospacing="0" w:afterLines="50" w:afterAutospacing="0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薪資之最低差距比例</w:t>
      </w:r>
    </w:p>
    <w:p w:rsidR="002F3836" w:rsidRDefault="002F3836" w:rsidP="003953D8">
      <w:pPr>
        <w:pStyle w:val="Web"/>
        <w:numPr>
          <w:ilvl w:val="1"/>
          <w:numId w:val="2"/>
        </w:numPr>
        <w:spacing w:beforeLines="50" w:beforeAutospacing="0" w:afterLines="50" w:afterAutospacing="0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獲績優教師加給之教師薪資與校內同職級人員薪資比例約為1.31:1~1.04:1(以教授級最高薪為基準核算)</w:t>
      </w:r>
    </w:p>
    <w:p w:rsidR="002F3836" w:rsidRDefault="002F3836" w:rsidP="003953D8">
      <w:pPr>
        <w:pStyle w:val="Web"/>
        <w:numPr>
          <w:ilvl w:val="1"/>
          <w:numId w:val="2"/>
        </w:numPr>
        <w:spacing w:beforeLines="50" w:beforeAutospacing="0" w:afterLines="50" w:afterAutospacing="0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獎勵最低差距比例約為1:5</w:t>
      </w:r>
    </w:p>
    <w:p w:rsidR="002F3836" w:rsidRDefault="002F3836" w:rsidP="003953D8">
      <w:pPr>
        <w:pStyle w:val="Web"/>
        <w:numPr>
          <w:ilvl w:val="0"/>
          <w:numId w:val="2"/>
        </w:numPr>
        <w:spacing w:beforeLines="50" w:beforeAutospacing="0" w:afterLines="50" w:afterAutospacing="0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核給期程</w:t>
      </w:r>
    </w:p>
    <w:p w:rsidR="002F3836" w:rsidRPr="00040AA6" w:rsidRDefault="002F3836" w:rsidP="003953D8">
      <w:pPr>
        <w:pStyle w:val="Web"/>
        <w:spacing w:beforeLines="50" w:beforeAutospacing="0" w:afterLines="50" w:afterAutospacing="0" w:line="360" w:lineRule="exact"/>
        <w:ind w:leftChars="498" w:left="1195" w:firstLineChars="23" w:firstLine="6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符合第三點第一款者</w:t>
      </w:r>
      <w:r>
        <w:rPr>
          <w:rFonts w:ascii="標楷體" w:eastAsia="標楷體" w:hAnsi="標楷體" w:cs="標楷體" w:hint="eastAsia"/>
          <w:sz w:val="28"/>
          <w:szCs w:val="28"/>
        </w:rPr>
        <w:t>支領至退休、其餘核給2年。</w:t>
      </w:r>
    </w:p>
    <w:p w:rsidR="002F3836" w:rsidRDefault="002F3836" w:rsidP="003953D8">
      <w:pPr>
        <w:pStyle w:val="Web"/>
        <w:numPr>
          <w:ilvl w:val="0"/>
          <w:numId w:val="2"/>
        </w:numPr>
        <w:spacing w:beforeLines="50" w:beforeAutospacing="0" w:afterLines="50" w:afterAutospacing="0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核給比例</w:t>
      </w:r>
    </w:p>
    <w:p w:rsidR="002F3836" w:rsidRDefault="002F3836" w:rsidP="003953D8">
      <w:pPr>
        <w:pStyle w:val="Web"/>
        <w:spacing w:beforeLines="50" w:beforeAutospacing="0" w:afterLines="50" w:afterAutospacing="0" w:line="360" w:lineRule="exact"/>
        <w:ind w:leftChars="499" w:left="1198" w:firstLineChars="21" w:firstLine="5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符合第三點第一款至第三款者</w:t>
      </w:r>
      <w:r>
        <w:rPr>
          <w:rFonts w:ascii="標楷體" w:eastAsia="標楷體" w:hAnsi="標楷體" w:cs="標楷體" w:hint="eastAsia"/>
          <w:sz w:val="28"/>
          <w:szCs w:val="28"/>
        </w:rPr>
        <w:t>，加給人數以實際獲獎人數為準。</w:t>
      </w:r>
    </w:p>
    <w:p w:rsidR="002F3836" w:rsidRDefault="002F3836" w:rsidP="003953D8">
      <w:pPr>
        <w:pStyle w:val="Web"/>
        <w:spacing w:beforeLines="50" w:beforeAutospacing="0" w:afterLines="50" w:afterAutospacing="0" w:line="360" w:lineRule="exact"/>
        <w:ind w:leftChars="526" w:left="1618" w:hangingChars="127" w:hanging="35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2.</w:t>
      </w:r>
      <w:r>
        <w:rPr>
          <w:rFonts w:ascii="標楷體" w:eastAsia="標楷體" w:hAnsi="標楷體" w:hint="eastAsia"/>
          <w:sz w:val="28"/>
          <w:szCs w:val="28"/>
        </w:rPr>
        <w:t>符合第三點第四至第五款者</w:t>
      </w:r>
      <w:r>
        <w:rPr>
          <w:rFonts w:ascii="標楷體" w:eastAsia="標楷體" w:hAnsi="標楷體" w:cs="標楷體" w:hint="eastAsia"/>
          <w:sz w:val="28"/>
          <w:szCs w:val="28"/>
        </w:rPr>
        <w:t>，加給人數以不超過本校專任教師人數之1%為原則。</w:t>
      </w:r>
    </w:p>
    <w:p w:rsidR="002F3836" w:rsidRDefault="002F3836" w:rsidP="003953D8">
      <w:pPr>
        <w:pStyle w:val="Web"/>
        <w:spacing w:beforeLines="50" w:beforeAutospacing="0" w:afterLines="50" w:afterAutospacing="0" w:line="360" w:lineRule="exact"/>
        <w:ind w:leftChars="525" w:left="1618" w:hangingChars="128" w:hanging="35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符合第三點第六款者</w:t>
      </w:r>
      <w:r>
        <w:rPr>
          <w:rFonts w:ascii="標楷體" w:eastAsia="標楷體" w:hAnsi="標楷體" w:cs="標楷體" w:hint="eastAsia"/>
          <w:sz w:val="28"/>
          <w:szCs w:val="28"/>
        </w:rPr>
        <w:t>，加給人數以不超過研究中心數之半數為原則。</w:t>
      </w:r>
    </w:p>
    <w:p w:rsidR="002F3836" w:rsidRDefault="002F3836" w:rsidP="003953D8">
      <w:pPr>
        <w:pStyle w:val="Web"/>
        <w:spacing w:beforeLines="50" w:beforeAutospacing="0" w:afterLines="50" w:afterAutospacing="0" w:line="360" w:lineRule="exact"/>
        <w:ind w:leftChars="525" w:left="1618" w:hangingChars="128" w:hanging="35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符合第三點第七款至第八款者</w:t>
      </w:r>
      <w:r>
        <w:rPr>
          <w:rFonts w:ascii="標楷體" w:eastAsia="標楷體" w:hAnsi="標楷體" w:cs="標楷體" w:hint="eastAsia"/>
          <w:sz w:val="28"/>
          <w:szCs w:val="28"/>
        </w:rPr>
        <w:t>，加給人數以不超過本校專任教師人數之2%為原則。</w:t>
      </w:r>
    </w:p>
    <w:p w:rsidR="002F3836" w:rsidRPr="00AC170D" w:rsidRDefault="002F3836" w:rsidP="003953D8">
      <w:pPr>
        <w:pStyle w:val="Web"/>
        <w:spacing w:beforeLines="50" w:beforeAutospacing="0" w:afterLines="50" w:afterAutospacing="0" w:line="360" w:lineRule="exact"/>
        <w:ind w:leftChars="525" w:left="1618" w:hangingChars="128" w:hanging="35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績優教師加給總人數以不超過全校教師數之10%為原則。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38" w:hangingChars="192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十、獲績優教師加給者，應致力於教學、研究、服務及輔導之提昇，並於加給期滿前繳交執行績效報告。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Chars="224" w:left="538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前項執行績效報告送績優教師審查委員會審查，作為下次核給績優教師加給之依據。</w:t>
      </w:r>
    </w:p>
    <w:p w:rsidR="002F3836" w:rsidRPr="00A118F0" w:rsidRDefault="002F3836" w:rsidP="003953D8">
      <w:pPr>
        <w:pStyle w:val="Web"/>
        <w:spacing w:beforeLines="40" w:beforeAutospacing="0" w:afterLines="20" w:afterAutospacing="0" w:line="360" w:lineRule="exact"/>
        <w:ind w:left="538" w:hangingChars="192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十一、本校對新聘及現職績優教師，依本校相關規定提供必要之教學、研究及行政支援。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99" w:hangingChars="214" w:hanging="5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十二、績優教師加給由教育部邁向頂尖大學計劃經費及本校校務基金支應，點數折合率(金額)或核給比例則依經費來源狀況調整之。</w:t>
      </w:r>
    </w:p>
    <w:p w:rsidR="002F3836" w:rsidRDefault="002F3836" w:rsidP="003953D8">
      <w:pPr>
        <w:pStyle w:val="Web"/>
        <w:spacing w:beforeLines="40" w:beforeAutospacing="0" w:afterLines="20" w:afterAutospacing="0" w:line="360" w:lineRule="exact"/>
        <w:ind w:left="599" w:hangingChars="214" w:hanging="5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十三、本校教師同時獲得本要點三之(六)除外之各款及</w:t>
      </w:r>
      <w:r w:rsidR="00D819A6">
        <w:rPr>
          <w:rFonts w:ascii="標楷體" w:eastAsia="標楷體" w:hAnsi="標楷體" w:cs="標楷體" w:hint="eastAsia"/>
          <w:sz w:val="28"/>
          <w:szCs w:val="28"/>
        </w:rPr>
        <w:t>科技部</w:t>
      </w:r>
      <w:r>
        <w:rPr>
          <w:rFonts w:ascii="標楷體" w:eastAsia="標楷體" w:hAnsi="標楷體" w:cs="標楷體" w:hint="eastAsia"/>
          <w:sz w:val="28"/>
          <w:szCs w:val="28"/>
        </w:rPr>
        <w:t>獎勵者，擇優獎勵並以</w:t>
      </w:r>
      <w:r w:rsidR="00D819A6">
        <w:rPr>
          <w:rFonts w:ascii="標楷體" w:eastAsia="標楷體" w:hAnsi="標楷體" w:cs="標楷體" w:hint="eastAsia"/>
          <w:sz w:val="28"/>
          <w:szCs w:val="28"/>
        </w:rPr>
        <w:t>科技部</w:t>
      </w:r>
      <w:r>
        <w:rPr>
          <w:rFonts w:ascii="標楷體" w:eastAsia="標楷體" w:hAnsi="標楷體" w:cs="標楷體" w:hint="eastAsia"/>
          <w:sz w:val="28"/>
          <w:szCs w:val="28"/>
        </w:rPr>
        <w:t>經費優先核銷，差額部份再由教育部「</w:t>
      </w:r>
      <w:r w:rsidRPr="00DC1F53">
        <w:rPr>
          <w:rFonts w:ascii="標楷體" w:eastAsia="標楷體" w:hAnsi="標楷體" w:cs="標楷體" w:hint="eastAsia"/>
          <w:sz w:val="28"/>
          <w:szCs w:val="28"/>
        </w:rPr>
        <w:t>邁向頂尖大學計劃</w:t>
      </w:r>
      <w:r>
        <w:rPr>
          <w:rFonts w:ascii="標楷體" w:eastAsia="標楷體" w:hAnsi="標楷體" w:cs="標楷體" w:hint="eastAsia"/>
          <w:sz w:val="28"/>
          <w:szCs w:val="28"/>
        </w:rPr>
        <w:t>」經費核銷。</w:t>
      </w:r>
    </w:p>
    <w:p w:rsidR="002F3836" w:rsidRPr="00BF110F" w:rsidRDefault="002F3836" w:rsidP="003953D8">
      <w:pPr>
        <w:pStyle w:val="Web"/>
        <w:spacing w:beforeLines="40" w:beforeAutospacing="0" w:afterLines="20" w:afterAutospacing="0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十四、本要點未盡事宜悉依本校及教育部等相關規定辦理。</w:t>
      </w:r>
    </w:p>
    <w:p w:rsidR="002F3836" w:rsidRDefault="002F3836" w:rsidP="002F3836">
      <w:r>
        <w:rPr>
          <w:rFonts w:ascii="標楷體" w:eastAsia="標楷體" w:hAnsi="標楷體" w:cs="標楷體" w:hint="eastAsia"/>
          <w:sz w:val="28"/>
          <w:szCs w:val="28"/>
        </w:rPr>
        <w:t>十五、本要點經校務會議通過呈校長核定、並報教育部核備後實施，修訂時亦同。</w:t>
      </w:r>
    </w:p>
    <w:sectPr w:rsidR="002F3836" w:rsidSect="008C0AD1">
      <w:footerReference w:type="default" r:id="rId7"/>
      <w:pgSz w:w="11906" w:h="16838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70" w:rsidRDefault="00E16770" w:rsidP="00D819A6">
      <w:r>
        <w:separator/>
      </w:r>
    </w:p>
  </w:endnote>
  <w:endnote w:type="continuationSeparator" w:id="0">
    <w:p w:rsidR="00E16770" w:rsidRDefault="00E16770" w:rsidP="00D8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1" w:rsidRDefault="008C0AD1" w:rsidP="008C0A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70" w:rsidRDefault="00E16770" w:rsidP="00D819A6">
      <w:r>
        <w:separator/>
      </w:r>
    </w:p>
  </w:footnote>
  <w:footnote w:type="continuationSeparator" w:id="0">
    <w:p w:rsidR="00E16770" w:rsidRDefault="00E16770" w:rsidP="00D81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78C"/>
    <w:multiLevelType w:val="hybridMultilevel"/>
    <w:tmpl w:val="30266DD6"/>
    <w:lvl w:ilvl="0" w:tplc="FE5A6580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4102692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589C289E"/>
    <w:multiLevelType w:val="hybridMultilevel"/>
    <w:tmpl w:val="9EF0E602"/>
    <w:lvl w:ilvl="0" w:tplc="952AE8C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836"/>
    <w:rsid w:val="0001642F"/>
    <w:rsid w:val="00064BBD"/>
    <w:rsid w:val="000F6A4A"/>
    <w:rsid w:val="002A0520"/>
    <w:rsid w:val="002F3836"/>
    <w:rsid w:val="00300178"/>
    <w:rsid w:val="003953D8"/>
    <w:rsid w:val="003F2094"/>
    <w:rsid w:val="004602F8"/>
    <w:rsid w:val="00465847"/>
    <w:rsid w:val="00554EDA"/>
    <w:rsid w:val="005F2150"/>
    <w:rsid w:val="006F08C9"/>
    <w:rsid w:val="00781D8E"/>
    <w:rsid w:val="008242A5"/>
    <w:rsid w:val="008C0AD1"/>
    <w:rsid w:val="008D5100"/>
    <w:rsid w:val="009C574B"/>
    <w:rsid w:val="00AC0AA0"/>
    <w:rsid w:val="00BB3B22"/>
    <w:rsid w:val="00C32360"/>
    <w:rsid w:val="00D819A6"/>
    <w:rsid w:val="00E13F08"/>
    <w:rsid w:val="00E16770"/>
    <w:rsid w:val="00E52FEF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38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3">
    <w:name w:val="字元 字元 字元"/>
    <w:basedOn w:val="a"/>
    <w:rsid w:val="002F3836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81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819A6"/>
    <w:rPr>
      <w:kern w:val="2"/>
    </w:rPr>
  </w:style>
  <w:style w:type="paragraph" w:styleId="a6">
    <w:name w:val="footer"/>
    <w:basedOn w:val="a"/>
    <w:link w:val="a7"/>
    <w:uiPriority w:val="99"/>
    <w:unhideWhenUsed/>
    <w:rsid w:val="00D81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819A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長庚大學延攬及留住特殊優秀人才實施彈性薪資作業要點</dc:title>
  <dc:creator>user</dc:creator>
  <cp:lastModifiedBy>d000009048</cp:lastModifiedBy>
  <cp:revision>2</cp:revision>
  <dcterms:created xsi:type="dcterms:W3CDTF">2015-11-16T07:31:00Z</dcterms:created>
  <dcterms:modified xsi:type="dcterms:W3CDTF">2015-11-16T07:31:00Z</dcterms:modified>
</cp:coreProperties>
</file>